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0" w:after="80"/>
        <w:jc w:val="center"/>
        <w:rPr/>
      </w:pPr>
      <w:r>
        <w:rPr>
          <w:rFonts w:eastAsia="Arial" w:cs="Arial"/>
          <w:b/>
          <w:bCs/>
          <w:color w:val="1A6B72"/>
          <w:sz w:val="52"/>
          <w:szCs w:val="52"/>
        </w:rPr>
        <w:t>AI Scribe Use Policy</w:t>
      </w:r>
    </w:p>
    <w:p>
      <w:pPr>
        <w:pStyle w:val="Normal"/>
        <w:spacing w:before="0" w:after="60"/>
        <w:jc w:val="center"/>
        <w:rPr/>
      </w:pPr>
      <w:r>
        <w:rPr>
          <w:rFonts w:eastAsia="Arial" w:cs="Arial"/>
          <w:i/>
          <w:iCs/>
          <w:color w:val="555555"/>
          <w:sz w:val="26"/>
          <w:szCs w:val="26"/>
        </w:rPr>
        <w:t xml:space="preserve">Skreen Family Practice </w:t>
      </w:r>
    </w:p>
    <w:p>
      <w:pPr>
        <w:pStyle w:val="Normal"/>
        <w:spacing w:before="0" w:after="400"/>
        <w:jc w:val="center"/>
        <w:rPr/>
      </w:pPr>
      <w:r>
        <w:rPr>
          <w:rFonts w:eastAsia="Arial" w:cs="Arial"/>
          <w:color w:val="888888"/>
          <w:sz w:val="22"/>
          <w:szCs w:val="22"/>
        </w:rPr>
        <w:t>Clinical Governance &amp; Data Protection Policy</w:t>
      </w:r>
    </w:p>
    <w:tbl>
      <w:tblPr>
        <w:tblW w:w="9026" w:type="dxa"/>
        <w:jc w:val="start"/>
        <w:tblInd w:w="0" w:type="dxa"/>
        <w:tblLayout w:type="fixed"/>
        <w:tblCellMar>
          <w:top w:w="80" w:type="dxa"/>
          <w:start w:w="120" w:type="dxa"/>
          <w:bottom w:w="80" w:type="dxa"/>
          <w:end w:w="120" w:type="dxa"/>
        </w:tblCellMar>
      </w:tblPr>
      <w:tblGrid>
        <w:gridCol w:w="2500"/>
        <w:gridCol w:w="6526"/>
      </w:tblGrid>
      <w:tr>
        <w:trPr/>
        <w:tc>
          <w:tcPr>
            <w:tcW w:w="2500" w:type="dxa"/>
            <w:tcBorders>
              <w:top w:val="single" w:sz="2" w:space="0" w:color="CCCCCC"/>
              <w:start w:val="single" w:sz="2" w:space="0" w:color="CCCCCC"/>
              <w:bottom w:val="single" w:sz="2" w:space="0" w:color="CCCCCC"/>
              <w:end w:val="single" w:sz="2" w:space="0" w:color="CCCCCC"/>
            </w:tcBorders>
            <w:shd w:fill="E8F4F5" w:val="clear"/>
          </w:tcPr>
          <w:p>
            <w:pPr>
              <w:pStyle w:val="Normal"/>
              <w:rPr/>
            </w:pPr>
            <w:r>
              <w:rPr>
                <w:rFonts w:eastAsia="Arial" w:cs="Arial"/>
                <w:b/>
                <w:bCs/>
                <w:color w:val="1A6B72"/>
                <w:sz w:val="20"/>
                <w:szCs w:val="20"/>
              </w:rPr>
              <w:t>Policy Owner</w:t>
            </w:r>
          </w:p>
        </w:tc>
        <w:tc>
          <w:tcPr>
            <w:tcW w:w="6526" w:type="dxa"/>
            <w:tcBorders>
              <w:top w:val="single" w:sz="2" w:space="0" w:color="CCCCCC"/>
              <w:start w:val="single" w:sz="2" w:space="0" w:color="CCCCCC"/>
              <w:bottom w:val="single" w:sz="2" w:space="0" w:color="CCCCCC"/>
              <w:end w:val="single" w:sz="2" w:space="0" w:color="CCCCCC"/>
            </w:tcBorders>
          </w:tcPr>
          <w:p>
            <w:pPr>
              <w:pStyle w:val="Normal"/>
              <w:rPr/>
            </w:pPr>
            <w:r>
              <w:rPr>
                <w:rFonts w:eastAsia="Arial" w:cs="Arial"/>
                <w:color w:val="222222"/>
                <w:sz w:val="20"/>
                <w:szCs w:val="20"/>
              </w:rPr>
              <w:t>Practice Principal / GP Partner</w:t>
            </w:r>
          </w:p>
        </w:tc>
      </w:tr>
      <w:tr>
        <w:trPr/>
        <w:tc>
          <w:tcPr>
            <w:tcW w:w="2500" w:type="dxa"/>
            <w:tcBorders>
              <w:top w:val="single" w:sz="2" w:space="0" w:color="CCCCCC"/>
              <w:start w:val="single" w:sz="2" w:space="0" w:color="CCCCCC"/>
              <w:bottom w:val="single" w:sz="2" w:space="0" w:color="CCCCCC"/>
              <w:end w:val="single" w:sz="2" w:space="0" w:color="CCCCCC"/>
            </w:tcBorders>
            <w:shd w:fill="E8F4F5" w:val="clear"/>
          </w:tcPr>
          <w:p>
            <w:pPr>
              <w:pStyle w:val="Normal"/>
              <w:rPr/>
            </w:pPr>
            <w:r>
              <w:rPr>
                <w:rFonts w:eastAsia="Arial" w:cs="Arial"/>
                <w:b/>
                <w:bCs/>
                <w:color w:val="1A6B72"/>
                <w:sz w:val="20"/>
                <w:szCs w:val="20"/>
              </w:rPr>
              <w:t>Version</w:t>
            </w:r>
          </w:p>
        </w:tc>
        <w:tc>
          <w:tcPr>
            <w:tcW w:w="6526" w:type="dxa"/>
            <w:tcBorders>
              <w:top w:val="single" w:sz="2" w:space="0" w:color="CCCCCC"/>
              <w:start w:val="single" w:sz="2" w:space="0" w:color="CCCCCC"/>
              <w:bottom w:val="single" w:sz="2" w:space="0" w:color="CCCCCC"/>
              <w:end w:val="single" w:sz="2" w:space="0" w:color="CCCCCC"/>
            </w:tcBorders>
          </w:tcPr>
          <w:p>
            <w:pPr>
              <w:pStyle w:val="Normal"/>
              <w:rPr/>
            </w:pPr>
            <w:r>
              <w:rPr>
                <w:rFonts w:eastAsia="Arial" w:cs="Arial"/>
                <w:color w:val="222222"/>
                <w:sz w:val="20"/>
                <w:szCs w:val="20"/>
              </w:rPr>
              <w:t>1.0</w:t>
            </w:r>
          </w:p>
        </w:tc>
      </w:tr>
      <w:tr>
        <w:trPr/>
        <w:tc>
          <w:tcPr>
            <w:tcW w:w="2500" w:type="dxa"/>
            <w:tcBorders>
              <w:top w:val="single" w:sz="2" w:space="0" w:color="CCCCCC"/>
              <w:start w:val="single" w:sz="2" w:space="0" w:color="CCCCCC"/>
              <w:bottom w:val="single" w:sz="2" w:space="0" w:color="CCCCCC"/>
              <w:end w:val="single" w:sz="2" w:space="0" w:color="CCCCCC"/>
            </w:tcBorders>
            <w:shd w:fill="E8F4F5" w:val="clear"/>
          </w:tcPr>
          <w:p>
            <w:pPr>
              <w:pStyle w:val="Normal"/>
              <w:rPr/>
            </w:pPr>
            <w:r>
              <w:rPr>
                <w:rFonts w:eastAsia="Arial" w:cs="Arial"/>
                <w:b/>
                <w:bCs/>
                <w:color w:val="1A6B72"/>
                <w:sz w:val="20"/>
                <w:szCs w:val="20"/>
              </w:rPr>
              <w:t>Effective Date</w:t>
            </w:r>
          </w:p>
        </w:tc>
        <w:tc>
          <w:tcPr>
            <w:tcW w:w="6526" w:type="dxa"/>
            <w:tcBorders>
              <w:top w:val="single" w:sz="2" w:space="0" w:color="CCCCCC"/>
              <w:start w:val="single" w:sz="2" w:space="0" w:color="CCCCCC"/>
              <w:bottom w:val="single" w:sz="2" w:space="0" w:color="CCCCCC"/>
              <w:end w:val="single" w:sz="2" w:space="0" w:color="CCCCCC"/>
            </w:tcBorders>
          </w:tcPr>
          <w:p>
            <w:pPr>
              <w:pStyle w:val="Normal"/>
              <w:rPr/>
            </w:pPr>
            <w:r>
              <w:rPr>
                <w:rFonts w:eastAsia="Arial" w:cs="Arial"/>
                <w:color w:val="222222"/>
                <w:sz w:val="20"/>
                <w:szCs w:val="20"/>
              </w:rPr>
              <w:t>18/03/2026</w:t>
            </w:r>
          </w:p>
        </w:tc>
      </w:tr>
      <w:tr>
        <w:trPr/>
        <w:tc>
          <w:tcPr>
            <w:tcW w:w="2500" w:type="dxa"/>
            <w:tcBorders>
              <w:top w:val="single" w:sz="2" w:space="0" w:color="CCCCCC"/>
              <w:start w:val="single" w:sz="2" w:space="0" w:color="CCCCCC"/>
              <w:bottom w:val="single" w:sz="2" w:space="0" w:color="CCCCCC"/>
              <w:end w:val="single" w:sz="2" w:space="0" w:color="CCCCCC"/>
            </w:tcBorders>
            <w:shd w:fill="E8F4F5" w:val="clear"/>
          </w:tcPr>
          <w:p>
            <w:pPr>
              <w:pStyle w:val="Normal"/>
              <w:rPr/>
            </w:pPr>
            <w:r>
              <w:rPr>
                <w:rFonts w:eastAsia="Arial" w:cs="Arial"/>
                <w:b/>
                <w:bCs/>
                <w:color w:val="1A6B72"/>
                <w:sz w:val="20"/>
                <w:szCs w:val="20"/>
              </w:rPr>
              <w:t>Review Date</w:t>
            </w:r>
          </w:p>
        </w:tc>
        <w:tc>
          <w:tcPr>
            <w:tcW w:w="6526" w:type="dxa"/>
            <w:tcBorders>
              <w:top w:val="single" w:sz="2" w:space="0" w:color="CCCCCC"/>
              <w:start w:val="single" w:sz="2" w:space="0" w:color="CCCCCC"/>
              <w:bottom w:val="single" w:sz="2" w:space="0" w:color="CCCCCC"/>
              <w:end w:val="single" w:sz="2" w:space="0" w:color="CCCCCC"/>
            </w:tcBorders>
          </w:tcPr>
          <w:p>
            <w:pPr>
              <w:pStyle w:val="Normal"/>
              <w:rPr/>
            </w:pPr>
            <w:r>
              <w:rPr>
                <w:rFonts w:eastAsia="Arial" w:cs="Arial"/>
                <w:color w:val="222222"/>
                <w:sz w:val="20"/>
                <w:szCs w:val="20"/>
              </w:rPr>
              <w:t>18/03/2027</w:t>
            </w:r>
          </w:p>
        </w:tc>
      </w:tr>
      <w:tr>
        <w:trPr/>
        <w:tc>
          <w:tcPr>
            <w:tcW w:w="2500" w:type="dxa"/>
            <w:tcBorders>
              <w:top w:val="single" w:sz="2" w:space="0" w:color="CCCCCC"/>
              <w:start w:val="single" w:sz="2" w:space="0" w:color="CCCCCC"/>
              <w:bottom w:val="single" w:sz="2" w:space="0" w:color="CCCCCC"/>
              <w:end w:val="single" w:sz="2" w:space="0" w:color="CCCCCC"/>
            </w:tcBorders>
            <w:shd w:fill="E8F4F5" w:val="clear"/>
          </w:tcPr>
          <w:p>
            <w:pPr>
              <w:pStyle w:val="Normal"/>
              <w:rPr/>
            </w:pPr>
            <w:r>
              <w:rPr>
                <w:rFonts w:eastAsia="Arial" w:cs="Arial"/>
                <w:b/>
                <w:bCs/>
                <w:color w:val="1A6B72"/>
                <w:sz w:val="20"/>
                <w:szCs w:val="20"/>
              </w:rPr>
              <w:t>Approved By</w:t>
            </w:r>
          </w:p>
        </w:tc>
        <w:tc>
          <w:tcPr>
            <w:tcW w:w="6526" w:type="dxa"/>
            <w:tcBorders>
              <w:top w:val="single" w:sz="2" w:space="0" w:color="CCCCCC"/>
              <w:start w:val="single" w:sz="2" w:space="0" w:color="CCCCCC"/>
              <w:bottom w:val="single" w:sz="2" w:space="0" w:color="CCCCCC"/>
              <w:end w:val="single" w:sz="2" w:space="0" w:color="CCCCCC"/>
            </w:tcBorders>
          </w:tcPr>
          <w:p>
            <w:pPr>
              <w:pStyle w:val="Normal"/>
              <w:rPr/>
            </w:pPr>
            <w:r>
              <w:rPr>
                <w:rFonts w:eastAsia="Arial" w:cs="Arial"/>
                <w:color w:val="222222"/>
                <w:sz w:val="20"/>
                <w:szCs w:val="20"/>
              </w:rPr>
              <w:t>Dr Dunne and Dr Breslin</w:t>
            </w:r>
          </w:p>
        </w:tc>
      </w:tr>
      <w:tr>
        <w:trPr/>
        <w:tc>
          <w:tcPr>
            <w:tcW w:w="2500" w:type="dxa"/>
            <w:tcBorders>
              <w:top w:val="single" w:sz="2" w:space="0" w:color="CCCCCC"/>
              <w:start w:val="single" w:sz="2" w:space="0" w:color="CCCCCC"/>
              <w:bottom w:val="single" w:sz="2" w:space="0" w:color="CCCCCC"/>
              <w:end w:val="single" w:sz="2" w:space="0" w:color="CCCCCC"/>
            </w:tcBorders>
            <w:shd w:fill="E8F4F5" w:val="clear"/>
          </w:tcPr>
          <w:p>
            <w:pPr>
              <w:pStyle w:val="Normal"/>
              <w:rPr/>
            </w:pPr>
            <w:r>
              <w:rPr>
                <w:rFonts w:eastAsia="Arial" w:cs="Arial"/>
                <w:b/>
                <w:bCs/>
                <w:color w:val="1A6B72"/>
                <w:sz w:val="20"/>
                <w:szCs w:val="20"/>
              </w:rPr>
              <w:t>Applicable To</w:t>
            </w:r>
          </w:p>
        </w:tc>
        <w:tc>
          <w:tcPr>
            <w:tcW w:w="6526" w:type="dxa"/>
            <w:tcBorders>
              <w:top w:val="single" w:sz="2" w:space="0" w:color="CCCCCC"/>
              <w:start w:val="single" w:sz="2" w:space="0" w:color="CCCCCC"/>
              <w:bottom w:val="single" w:sz="2" w:space="0" w:color="CCCCCC"/>
              <w:end w:val="single" w:sz="2" w:space="0" w:color="CCCCCC"/>
            </w:tcBorders>
          </w:tcPr>
          <w:p>
            <w:pPr>
              <w:pStyle w:val="Normal"/>
              <w:rPr/>
            </w:pPr>
            <w:r>
              <w:rPr>
                <w:rFonts w:eastAsia="Arial" w:cs="Arial"/>
                <w:color w:val="222222"/>
                <w:sz w:val="20"/>
                <w:szCs w:val="20"/>
              </w:rPr>
              <w:t>All clinical and administrative staff</w:t>
            </w:r>
          </w:p>
        </w:tc>
      </w:tr>
    </w:tbl>
    <w:p>
      <w:pPr>
        <w:pStyle w:val="Normal"/>
        <w:spacing w:before="0" w:after="200"/>
        <w:rPr/>
      </w:pPr>
      <w:r>
        <w:rPr/>
      </w:r>
    </w:p>
    <w:p>
      <w:pPr>
        <w:pStyle w:val="Heading1"/>
        <w:pBdr>
          <w:bottom w:val="single" w:sz="4" w:space="4" w:color="1A6B72"/>
        </w:pBdr>
        <w:spacing w:before="360" w:after="120"/>
        <w:rPr/>
      </w:pPr>
      <w:r>
        <w:rPr>
          <w:rFonts w:eastAsia="Arial" w:cs="Arial" w:ascii="Arial" w:hAnsi="Arial"/>
          <w:b/>
          <w:bCs/>
          <w:color w:val="1A6B72"/>
          <w:sz w:val="28"/>
          <w:szCs w:val="28"/>
        </w:rPr>
        <w:t>1. Purpose</w:t>
      </w:r>
    </w:p>
    <w:p>
      <w:pPr>
        <w:pStyle w:val="Normal"/>
        <w:spacing w:before="0" w:after="120"/>
        <w:rPr/>
      </w:pPr>
      <w:r>
        <w:rPr>
          <w:rFonts w:eastAsia="Arial" w:cs="Arial"/>
          <w:color w:val="222222"/>
          <w:sz w:val="22"/>
          <w:szCs w:val="22"/>
        </w:rPr>
        <w:t>This policy sets out how AI-assisted transcription tools (AI scribes) are used within this practice. It ensures that their use is safe, lawful, and consistent with our obligations under Irish and EU data protection law, professional standards set by the Medical Council of Ireland, and patient rights.</w:t>
      </w:r>
    </w:p>
    <w:p>
      <w:pPr>
        <w:pStyle w:val="Heading1"/>
        <w:pBdr>
          <w:bottom w:val="single" w:sz="4" w:space="4" w:color="1A6B72"/>
        </w:pBdr>
        <w:spacing w:before="360" w:after="120"/>
        <w:rPr/>
      </w:pPr>
      <w:r>
        <w:rPr>
          <w:rFonts w:eastAsia="Arial" w:cs="Arial" w:ascii="Arial" w:hAnsi="Arial"/>
          <w:b/>
          <w:bCs/>
          <w:color w:val="1A6B72"/>
          <w:sz w:val="28"/>
          <w:szCs w:val="28"/>
        </w:rPr>
        <w:t>2. Scope</w:t>
      </w:r>
    </w:p>
    <w:p>
      <w:pPr>
        <w:pStyle w:val="Normal"/>
        <w:spacing w:before="0" w:after="120"/>
        <w:rPr/>
      </w:pPr>
      <w:r>
        <w:rPr>
          <w:rFonts w:eastAsia="Arial" w:cs="Arial"/>
          <w:color w:val="222222"/>
          <w:sz w:val="22"/>
          <w:szCs w:val="22"/>
        </w:rPr>
        <w:t>This policy applies to all GPs, registrars, nurses, and administrative staff who use or support the use of AI scribe technology within this practice.</w:t>
      </w:r>
    </w:p>
    <w:p>
      <w:pPr>
        <w:pStyle w:val="Heading1"/>
        <w:pBdr>
          <w:bottom w:val="single" w:sz="4" w:space="4" w:color="1A6B72"/>
        </w:pBdr>
        <w:spacing w:before="360" w:after="120"/>
        <w:rPr/>
      </w:pPr>
      <w:r>
        <w:rPr>
          <w:rFonts w:eastAsia="Arial" w:cs="Arial" w:ascii="Arial" w:hAnsi="Arial"/>
          <w:b/>
          <w:bCs/>
          <w:color w:val="1A6B72"/>
          <w:sz w:val="28"/>
          <w:szCs w:val="28"/>
        </w:rPr>
        <w:t>3. What is an AI Scribe?</w:t>
      </w:r>
    </w:p>
    <w:p>
      <w:pPr>
        <w:pStyle w:val="Normal"/>
        <w:spacing w:before="0" w:after="120"/>
        <w:rPr/>
      </w:pPr>
      <w:r>
        <w:rPr>
          <w:rFonts w:eastAsia="Arial" w:cs="Arial"/>
          <w:color w:val="222222"/>
          <w:sz w:val="22"/>
          <w:szCs w:val="22"/>
        </w:rPr>
        <w:t>An AI scribe is software that listens to a clinical consultation, transcribes the spoken content, and generates a structured clinical note (e.g. SOAP note or summary) for review and approval by the clinician. Examples include tools such as Heidi Health, Nabla Copilot, and similar platforms.</w:t>
      </w:r>
    </w:p>
    <w:p>
      <w:pPr>
        <w:pStyle w:val="Normal"/>
        <w:spacing w:before="0" w:after="120"/>
        <w:rPr/>
      </w:pPr>
      <w:r>
        <w:rPr>
          <w:rFonts w:eastAsia="Arial" w:cs="Arial"/>
          <w:color w:val="222222"/>
          <w:sz w:val="22"/>
          <w:szCs w:val="22"/>
        </w:rPr>
        <w:t>AI scribes do not replace clinical judgment. All notes generated must be reviewed, edited where necessary, and approved by the responsible clinician before being saved to the patient record.</w:t>
      </w:r>
    </w:p>
    <w:p>
      <w:pPr>
        <w:pStyle w:val="Heading1"/>
        <w:pBdr>
          <w:bottom w:val="single" w:sz="4" w:space="4" w:color="1A6B72"/>
        </w:pBdr>
        <w:spacing w:before="360" w:after="120"/>
        <w:rPr/>
      </w:pPr>
      <w:r>
        <w:rPr>
          <w:rFonts w:eastAsia="Arial" w:cs="Arial" w:ascii="Arial" w:hAnsi="Arial"/>
          <w:b/>
          <w:bCs/>
          <w:color w:val="1A6B72"/>
          <w:sz w:val="28"/>
          <w:szCs w:val="28"/>
        </w:rPr>
        <w:t>4. Legal &amp; Regulatory Framework</w:t>
      </w:r>
    </w:p>
    <w:p>
      <w:pPr>
        <w:pStyle w:val="Normal"/>
        <w:spacing w:before="0" w:after="120"/>
        <w:rPr/>
      </w:pPr>
      <w:r>
        <w:rPr>
          <w:rFonts w:eastAsia="Arial" w:cs="Arial"/>
          <w:color w:val="222222"/>
          <w:sz w:val="22"/>
          <w:szCs w:val="22"/>
        </w:rPr>
        <w:t>The use of AI scribes involves processing special category health data. This practice complies with:</w:t>
      </w:r>
    </w:p>
    <w:p>
      <w:pPr>
        <w:pStyle w:val="ListParagraph"/>
        <w:numPr>
          <w:ilvl w:val="0"/>
          <w:numId w:val="3"/>
        </w:numPr>
        <w:spacing w:before="0" w:after="80"/>
        <w:rPr/>
      </w:pPr>
      <w:r>
        <w:rPr>
          <w:rFonts w:eastAsia="Arial" w:cs="Arial"/>
          <w:color w:val="222222"/>
          <w:sz w:val="22"/>
          <w:szCs w:val="22"/>
        </w:rPr>
        <w:t>GDPR (EU) 2016/679 and the Data Protection Acts 1988–2018 (Ireland)</w:t>
      </w:r>
    </w:p>
    <w:p>
      <w:pPr>
        <w:pStyle w:val="ListParagraph"/>
        <w:numPr>
          <w:ilvl w:val="0"/>
          <w:numId w:val="1"/>
        </w:numPr>
        <w:spacing w:before="0" w:after="80"/>
        <w:rPr/>
      </w:pPr>
      <w:r>
        <w:rPr>
          <w:rFonts w:eastAsia="Arial" w:cs="Arial"/>
          <w:color w:val="222222"/>
          <w:sz w:val="22"/>
          <w:szCs w:val="22"/>
        </w:rPr>
        <w:t>Health Information and Quality Authority (HIQA) standards for health information</w:t>
      </w:r>
    </w:p>
    <w:p>
      <w:pPr>
        <w:pStyle w:val="ListParagraph"/>
        <w:numPr>
          <w:ilvl w:val="0"/>
          <w:numId w:val="1"/>
        </w:numPr>
        <w:spacing w:before="0" w:after="80"/>
        <w:rPr/>
      </w:pPr>
      <w:r>
        <w:rPr>
          <w:rFonts w:eastAsia="Arial" w:cs="Arial"/>
          <w:color w:val="222222"/>
          <w:sz w:val="22"/>
          <w:szCs w:val="22"/>
        </w:rPr>
        <w:t>Medical Council of Ireland – Guide to Professional Conduct and Ethics</w:t>
      </w:r>
    </w:p>
    <w:p>
      <w:pPr>
        <w:pStyle w:val="ListParagraph"/>
        <w:numPr>
          <w:ilvl w:val="0"/>
          <w:numId w:val="1"/>
        </w:numPr>
        <w:spacing w:before="0" w:after="80"/>
        <w:rPr/>
      </w:pPr>
      <w:r>
        <w:rPr>
          <w:rFonts w:eastAsia="Arial" w:cs="Arial"/>
          <w:color w:val="222222"/>
          <w:sz w:val="22"/>
          <w:szCs w:val="22"/>
        </w:rPr>
        <w:t>HSE National Cyber Security and Data Governance Policies</w:t>
      </w:r>
    </w:p>
    <w:p>
      <w:pPr>
        <w:pStyle w:val="ListParagraph"/>
        <w:numPr>
          <w:ilvl w:val="0"/>
          <w:numId w:val="1"/>
        </w:numPr>
        <w:spacing w:before="0" w:after="80"/>
        <w:rPr/>
      </w:pPr>
      <w:r>
        <w:rPr>
          <w:rFonts w:eastAsia="Arial" w:cs="Arial"/>
          <w:color w:val="222222"/>
          <w:sz w:val="22"/>
          <w:szCs w:val="22"/>
        </w:rPr>
        <w:t>Any specific conditions imposed by the practice’s Data Protection Officer (DPO) or indemnity provider</w:t>
      </w:r>
    </w:p>
    <w:p>
      <w:pPr>
        <w:pStyle w:val="Normal"/>
        <w:spacing w:before="0" w:after="120"/>
        <w:rPr/>
      </w:pPr>
      <w:r>
        <w:rPr/>
      </w:r>
    </w:p>
    <w:p>
      <w:pPr>
        <w:pStyle w:val="Normal"/>
        <w:spacing w:before="0" w:after="120"/>
        <w:rPr/>
      </w:pPr>
      <w:r>
        <w:rPr>
          <w:rFonts w:eastAsia="Arial" w:cs="Arial"/>
          <w:color w:val="222222"/>
          <w:sz w:val="22"/>
          <w:szCs w:val="22"/>
        </w:rPr>
        <w:t>The legal basis for processing under GDPR is Article 9(2)(h) – processing necessary for the provision of health care.</w:t>
      </w:r>
    </w:p>
    <w:p>
      <w:pPr>
        <w:pStyle w:val="Heading1"/>
        <w:pBdr>
          <w:bottom w:val="single" w:sz="4" w:space="4" w:color="1A6B72"/>
        </w:pBdr>
        <w:spacing w:before="360" w:after="120"/>
        <w:rPr/>
      </w:pPr>
      <w:r>
        <w:rPr>
          <w:rFonts w:eastAsia="Arial" w:cs="Arial" w:ascii="Arial" w:hAnsi="Arial"/>
          <w:b/>
          <w:bCs/>
          <w:color w:val="1A6B72"/>
          <w:sz w:val="28"/>
          <w:szCs w:val="28"/>
        </w:rPr>
        <w:t>5. Patient Consent &amp; Transparency</w:t>
      </w:r>
    </w:p>
    <w:p>
      <w:pPr>
        <w:pStyle w:val="Heading2"/>
        <w:spacing w:before="240" w:after="80"/>
        <w:rPr/>
      </w:pPr>
      <w:r>
        <w:rPr>
          <w:rFonts w:eastAsia="Arial" w:cs="Arial" w:ascii="Arial" w:hAnsi="Arial"/>
          <w:b/>
          <w:bCs/>
          <w:color w:val="333333"/>
          <w:sz w:val="24"/>
          <w:szCs w:val="24"/>
        </w:rPr>
        <w:t>5.1 Informing Patients</w:t>
      </w:r>
    </w:p>
    <w:p>
      <w:pPr>
        <w:pStyle w:val="Normal"/>
        <w:spacing w:before="0" w:after="120"/>
        <w:rPr/>
      </w:pPr>
      <w:r>
        <w:rPr>
          <w:rFonts w:eastAsia="Arial" w:cs="Arial"/>
          <w:color w:val="222222"/>
          <w:sz w:val="22"/>
          <w:szCs w:val="22"/>
        </w:rPr>
        <w:t>Patients must be informed that an AI scribe is being used before the consultation begins. This can be done via:</w:t>
      </w:r>
    </w:p>
    <w:p>
      <w:pPr>
        <w:pStyle w:val="ListParagraph"/>
        <w:numPr>
          <w:ilvl w:val="0"/>
          <w:numId w:val="1"/>
        </w:numPr>
        <w:spacing w:before="0" w:after="80"/>
        <w:rPr/>
      </w:pPr>
      <w:r>
        <w:rPr>
          <w:rFonts w:eastAsia="Arial" w:cs="Arial"/>
          <w:color w:val="222222"/>
          <w:sz w:val="22"/>
          <w:szCs w:val="22"/>
        </w:rPr>
        <w:t>A notice in the waiting room and/or patient-facing signage</w:t>
      </w:r>
    </w:p>
    <w:p>
      <w:pPr>
        <w:pStyle w:val="ListParagraph"/>
        <w:numPr>
          <w:ilvl w:val="0"/>
          <w:numId w:val="1"/>
        </w:numPr>
        <w:spacing w:before="0" w:after="80"/>
        <w:rPr/>
      </w:pPr>
      <w:r>
        <w:rPr>
          <w:rFonts w:eastAsia="Arial" w:cs="Arial"/>
          <w:color w:val="222222"/>
          <w:sz w:val="22"/>
          <w:szCs w:val="22"/>
        </w:rPr>
        <w:t>Information on the practice website and patient registration form</w:t>
      </w:r>
    </w:p>
    <w:p>
      <w:pPr>
        <w:pStyle w:val="ListParagraph"/>
        <w:numPr>
          <w:ilvl w:val="0"/>
          <w:numId w:val="1"/>
        </w:numPr>
        <w:spacing w:before="0" w:after="80"/>
        <w:rPr/>
      </w:pPr>
      <w:r>
        <w:rPr>
          <w:rFonts w:eastAsia="Arial" w:cs="Arial"/>
          <w:color w:val="222222"/>
          <w:sz w:val="22"/>
          <w:szCs w:val="22"/>
        </w:rPr>
        <w:t>A brief verbal statement by the clinician at the start of the consultation</w:t>
      </w:r>
    </w:p>
    <w:p>
      <w:pPr>
        <w:pStyle w:val="Heading2"/>
        <w:spacing w:before="240" w:after="80"/>
        <w:rPr/>
      </w:pPr>
      <w:r>
        <w:rPr>
          <w:rFonts w:eastAsia="Arial" w:cs="Arial" w:ascii="Arial" w:hAnsi="Arial"/>
          <w:b/>
          <w:bCs/>
          <w:color w:val="333333"/>
          <w:sz w:val="24"/>
          <w:szCs w:val="24"/>
        </w:rPr>
        <w:t>5.2 Right to Object</w:t>
      </w:r>
    </w:p>
    <w:p>
      <w:pPr>
        <w:pStyle w:val="Normal"/>
        <w:spacing w:before="0" w:after="120"/>
        <w:rPr/>
      </w:pPr>
      <w:r>
        <w:rPr>
          <w:rFonts w:eastAsia="Arial" w:cs="Arial"/>
          <w:color w:val="222222"/>
          <w:sz w:val="22"/>
          <w:szCs w:val="22"/>
        </w:rPr>
        <w:t>Patients may decline the use of an AI scribe at any time. If a patient objects, the AI scribe must not be activated for that consultation. This must be documented in the patient record. Refusal to consent must never affect the quality of care provided.</w:t>
      </w:r>
    </w:p>
    <w:p>
      <w:pPr>
        <w:pStyle w:val="Heading2"/>
        <w:spacing w:before="240" w:after="80"/>
        <w:rPr/>
      </w:pPr>
      <w:r>
        <w:rPr>
          <w:rFonts w:eastAsia="Arial" w:cs="Arial" w:ascii="Arial" w:hAnsi="Arial"/>
          <w:b/>
          <w:bCs/>
          <w:color w:val="333333"/>
          <w:sz w:val="24"/>
          <w:szCs w:val="24"/>
        </w:rPr>
        <w:t>5.3 Privacy Notice</w:t>
      </w:r>
    </w:p>
    <w:p>
      <w:pPr>
        <w:pStyle w:val="Normal"/>
        <w:spacing w:before="0" w:after="120"/>
        <w:rPr/>
      </w:pPr>
      <w:r>
        <w:rPr>
          <w:rFonts w:eastAsia="Arial" w:cs="Arial"/>
          <w:color w:val="222222"/>
          <w:sz w:val="22"/>
          <w:szCs w:val="22"/>
        </w:rPr>
        <w:t>The practice Privacy Notice must be updated to include AI scribe use, specifying: the tool used, the data processor (vendor), data storage location, retention periods, and patient rights.</w:t>
      </w:r>
    </w:p>
    <w:p>
      <w:pPr>
        <w:pStyle w:val="Heading1"/>
        <w:pBdr>
          <w:bottom w:val="single" w:sz="4" w:space="4" w:color="1A6B72"/>
        </w:pBdr>
        <w:spacing w:before="360" w:after="120"/>
        <w:rPr/>
      </w:pPr>
      <w:r>
        <w:rPr>
          <w:rFonts w:eastAsia="Arial" w:cs="Arial" w:ascii="Arial" w:hAnsi="Arial"/>
          <w:b/>
          <w:bCs/>
          <w:color w:val="1A6B72"/>
          <w:sz w:val="28"/>
          <w:szCs w:val="28"/>
        </w:rPr>
        <w:t>6. Clinician Responsibilities</w:t>
      </w:r>
    </w:p>
    <w:p>
      <w:pPr>
        <w:pStyle w:val="Normal"/>
        <w:spacing w:before="0" w:after="120"/>
        <w:rPr/>
      </w:pPr>
      <w:r>
        <w:rPr>
          <w:rFonts w:eastAsia="Arial" w:cs="Arial"/>
          <w:color w:val="222222"/>
          <w:sz w:val="22"/>
          <w:szCs w:val="22"/>
        </w:rPr>
        <w:t>Clinicians who use an AI scribe are responsible for:</w:t>
      </w:r>
    </w:p>
    <w:p>
      <w:pPr>
        <w:pStyle w:val="ListParagraph"/>
        <w:numPr>
          <w:ilvl w:val="0"/>
          <w:numId w:val="1"/>
        </w:numPr>
        <w:spacing w:before="0" w:after="80"/>
        <w:rPr/>
      </w:pPr>
      <w:r>
        <w:rPr>
          <w:rFonts w:eastAsia="Arial" w:cs="Arial"/>
          <w:color w:val="222222"/>
          <w:sz w:val="22"/>
          <w:szCs w:val="22"/>
        </w:rPr>
        <w:t>Reviewing all AI-generated content before saving to the clinical record</w:t>
      </w:r>
    </w:p>
    <w:p>
      <w:pPr>
        <w:pStyle w:val="ListParagraph"/>
        <w:numPr>
          <w:ilvl w:val="0"/>
          <w:numId w:val="1"/>
        </w:numPr>
        <w:spacing w:before="0" w:after="80"/>
        <w:rPr/>
      </w:pPr>
      <w:r>
        <w:rPr>
          <w:rFonts w:eastAsia="Arial" w:cs="Arial"/>
          <w:color w:val="222222"/>
          <w:sz w:val="22"/>
          <w:szCs w:val="22"/>
        </w:rPr>
        <w:t>Correcting any inaccuracies, omissions, or clinically unsafe content</w:t>
      </w:r>
    </w:p>
    <w:p>
      <w:pPr>
        <w:pStyle w:val="ListParagraph"/>
        <w:numPr>
          <w:ilvl w:val="0"/>
          <w:numId w:val="1"/>
        </w:numPr>
        <w:spacing w:before="0" w:after="80"/>
        <w:rPr/>
      </w:pPr>
      <w:r>
        <w:rPr>
          <w:rFonts w:eastAsia="Arial" w:cs="Arial"/>
          <w:color w:val="222222"/>
          <w:sz w:val="22"/>
          <w:szCs w:val="22"/>
        </w:rPr>
        <w:t>Ensuring the final note accurately reflects the consultation</w:t>
      </w:r>
    </w:p>
    <w:p>
      <w:pPr>
        <w:pStyle w:val="ListParagraph"/>
        <w:numPr>
          <w:ilvl w:val="0"/>
          <w:numId w:val="1"/>
        </w:numPr>
        <w:spacing w:before="0" w:after="80"/>
        <w:rPr/>
      </w:pPr>
      <w:r>
        <w:rPr>
          <w:rFonts w:eastAsia="Arial" w:cs="Arial"/>
          <w:color w:val="222222"/>
          <w:sz w:val="22"/>
          <w:szCs w:val="22"/>
        </w:rPr>
        <w:t>Not relying on an AI-generated note without personal review</w:t>
      </w:r>
    </w:p>
    <w:p>
      <w:pPr>
        <w:pStyle w:val="ListParagraph"/>
        <w:numPr>
          <w:ilvl w:val="0"/>
          <w:numId w:val="1"/>
        </w:numPr>
        <w:spacing w:before="0" w:after="80"/>
        <w:rPr/>
      </w:pPr>
      <w:r>
        <w:rPr>
          <w:rFonts w:eastAsia="Arial" w:cs="Arial"/>
          <w:color w:val="222222"/>
          <w:sz w:val="22"/>
          <w:szCs w:val="22"/>
        </w:rPr>
        <w:t>Completing mandatory training before using any AI scribe tool</w:t>
      </w:r>
    </w:p>
    <w:p>
      <w:pPr>
        <w:pStyle w:val="ListParagraph"/>
        <w:numPr>
          <w:ilvl w:val="0"/>
          <w:numId w:val="1"/>
        </w:numPr>
        <w:spacing w:before="0" w:after="80"/>
        <w:rPr/>
      </w:pPr>
      <w:r>
        <w:rPr>
          <w:rFonts w:eastAsia="Arial" w:cs="Arial"/>
          <w:color w:val="222222"/>
          <w:sz w:val="22"/>
          <w:szCs w:val="22"/>
        </w:rPr>
        <w:t>Reporting concerns or errors to the Practice Principal promptly</w:t>
      </w:r>
    </w:p>
    <w:p>
      <w:pPr>
        <w:pStyle w:val="Normal"/>
        <w:spacing w:before="0" w:after="120"/>
        <w:rPr/>
      </w:pPr>
      <w:r>
        <w:rPr/>
      </w:r>
    </w:p>
    <w:p>
      <w:pPr>
        <w:pStyle w:val="Normal"/>
        <w:spacing w:before="0" w:after="120"/>
        <w:rPr/>
      </w:pPr>
      <w:r>
        <w:rPr>
          <w:rFonts w:eastAsia="Arial" w:cs="Arial"/>
          <w:color w:val="222222"/>
          <w:sz w:val="22"/>
          <w:szCs w:val="22"/>
        </w:rPr>
        <w:t>The clinician remains the responsible author of every note, regardless of how it was generated. AI-generated content does not diminish medico-legal accountability.</w:t>
      </w:r>
    </w:p>
    <w:p>
      <w:pPr>
        <w:pStyle w:val="Heading1"/>
        <w:pBdr>
          <w:bottom w:val="single" w:sz="4" w:space="4" w:color="1A6B72"/>
        </w:pBdr>
        <w:spacing w:before="360" w:after="120"/>
        <w:rPr/>
      </w:pPr>
      <w:r>
        <w:rPr>
          <w:rFonts w:eastAsia="Arial" w:cs="Arial" w:ascii="Arial" w:hAnsi="Arial"/>
          <w:b/>
          <w:bCs/>
          <w:color w:val="1A6B72"/>
          <w:sz w:val="28"/>
          <w:szCs w:val="28"/>
        </w:rPr>
        <w:t>7. Approved Tools &amp; Vendor Requirements</w:t>
      </w:r>
    </w:p>
    <w:p>
      <w:pPr>
        <w:pStyle w:val="Normal"/>
        <w:spacing w:before="0" w:after="120"/>
        <w:rPr/>
      </w:pPr>
      <w:r>
        <w:rPr>
          <w:rFonts w:eastAsia="Arial" w:cs="Arial"/>
          <w:color w:val="222222"/>
          <w:sz w:val="22"/>
          <w:szCs w:val="22"/>
        </w:rPr>
        <w:t>Only AI scribe tools that have been assessed and approved by the practice may be used. Before a tool is adopted, the practice must confirm:</w:t>
      </w:r>
    </w:p>
    <w:p>
      <w:pPr>
        <w:pStyle w:val="ListParagraph"/>
        <w:numPr>
          <w:ilvl w:val="0"/>
          <w:numId w:val="1"/>
        </w:numPr>
        <w:spacing w:before="0" w:after="80"/>
        <w:rPr/>
      </w:pPr>
      <w:r>
        <w:rPr>
          <w:rFonts w:eastAsia="Arial" w:cs="Arial"/>
          <w:color w:val="222222"/>
          <w:sz w:val="22"/>
          <w:szCs w:val="22"/>
        </w:rPr>
        <w:t>A Data Processing Agreement (DPA) is in place with the vendor</w:t>
      </w:r>
    </w:p>
    <w:p>
      <w:pPr>
        <w:pStyle w:val="ListParagraph"/>
        <w:numPr>
          <w:ilvl w:val="0"/>
          <w:numId w:val="1"/>
        </w:numPr>
        <w:spacing w:before="0" w:after="80"/>
        <w:rPr/>
      </w:pPr>
      <w:r>
        <w:rPr>
          <w:rFonts w:eastAsia="Arial" w:cs="Arial"/>
          <w:color w:val="222222"/>
          <w:sz w:val="22"/>
          <w:szCs w:val="22"/>
        </w:rPr>
        <w:t>Data is processed within the EEA, or adequate safeguards exist for transfers outside the EEA</w:t>
      </w:r>
    </w:p>
    <w:p>
      <w:pPr>
        <w:pStyle w:val="ListParagraph"/>
        <w:numPr>
          <w:ilvl w:val="0"/>
          <w:numId w:val="1"/>
        </w:numPr>
        <w:spacing w:before="0" w:after="80"/>
        <w:rPr/>
      </w:pPr>
      <w:r>
        <w:rPr>
          <w:rFonts w:eastAsia="Arial" w:cs="Arial"/>
          <w:color w:val="222222"/>
          <w:sz w:val="22"/>
          <w:szCs w:val="22"/>
        </w:rPr>
        <w:t>The vendor does not use patient data to train AI models without explicit consent</w:t>
      </w:r>
    </w:p>
    <w:p>
      <w:pPr>
        <w:pStyle w:val="ListParagraph"/>
        <w:numPr>
          <w:ilvl w:val="0"/>
          <w:numId w:val="1"/>
        </w:numPr>
        <w:spacing w:before="0" w:after="80"/>
        <w:rPr/>
      </w:pPr>
      <w:r>
        <w:rPr>
          <w:rFonts w:eastAsia="Arial" w:cs="Arial"/>
          <w:color w:val="222222"/>
          <w:sz w:val="22"/>
          <w:szCs w:val="22"/>
        </w:rPr>
        <w:t>The tool meets NHS/HSE-equivalent security standards (e.g. ISO 27001, SOC 2)</w:t>
      </w:r>
    </w:p>
    <w:p>
      <w:pPr>
        <w:pStyle w:val="ListParagraph"/>
        <w:numPr>
          <w:ilvl w:val="0"/>
          <w:numId w:val="1"/>
        </w:numPr>
        <w:spacing w:before="0" w:after="80"/>
        <w:rPr/>
      </w:pPr>
      <w:r>
        <w:rPr>
          <w:rFonts w:eastAsia="Arial" w:cs="Arial"/>
          <w:color w:val="222222"/>
          <w:sz w:val="22"/>
          <w:szCs w:val="22"/>
        </w:rPr>
        <w:t>The tool integrates safely with or exports to the practice’s clinical system (e.g. Socrates, Helix, MedicalDirector)</w:t>
      </w:r>
    </w:p>
    <w:p>
      <w:pPr>
        <w:pStyle w:val="Normal"/>
        <w:spacing w:before="0" w:after="120"/>
        <w:rPr/>
      </w:pPr>
      <w:r>
        <w:rPr/>
      </w:r>
    </w:p>
    <w:p>
      <w:pPr>
        <w:pStyle w:val="Normal"/>
        <w:spacing w:before="0" w:after="120"/>
        <w:rPr/>
      </w:pPr>
      <w:r>
        <w:rPr>
          <w:rFonts w:eastAsia="Arial" w:cs="Arial"/>
          <w:color w:val="222222"/>
          <w:sz w:val="22"/>
          <w:szCs w:val="22"/>
        </w:rPr>
        <w:t>The current approved tool(s) are listed in Appendix A. Any change to approved tools requires sign-off by the Practice Principal and review by the DPO.</w:t>
      </w:r>
    </w:p>
    <w:p>
      <w:pPr>
        <w:pStyle w:val="Heading1"/>
        <w:pBdr>
          <w:bottom w:val="single" w:sz="4" w:space="4" w:color="1A6B72"/>
        </w:pBdr>
        <w:spacing w:before="360" w:after="120"/>
        <w:rPr/>
      </w:pPr>
      <w:r>
        <w:rPr>
          <w:rFonts w:eastAsia="Arial" w:cs="Arial" w:ascii="Arial" w:hAnsi="Arial"/>
          <w:b/>
          <w:bCs/>
          <w:color w:val="1A6B72"/>
          <w:sz w:val="28"/>
          <w:szCs w:val="28"/>
        </w:rPr>
        <w:t>8. Data Security &amp; Storage</w:t>
      </w:r>
    </w:p>
    <w:p>
      <w:pPr>
        <w:pStyle w:val="ListParagraph"/>
        <w:numPr>
          <w:ilvl w:val="0"/>
          <w:numId w:val="1"/>
        </w:numPr>
        <w:spacing w:before="0" w:after="80"/>
        <w:rPr/>
      </w:pPr>
      <w:r>
        <w:rPr>
          <w:rFonts w:eastAsia="Arial" w:cs="Arial"/>
          <w:color w:val="222222"/>
          <w:sz w:val="22"/>
          <w:szCs w:val="22"/>
        </w:rPr>
        <w:t>Audio recordings made during consultations must not be stored longer than necessary. Where technically possible, local audio should be deleted immediately after transcription.</w:t>
      </w:r>
    </w:p>
    <w:p>
      <w:pPr>
        <w:pStyle w:val="ListParagraph"/>
        <w:numPr>
          <w:ilvl w:val="0"/>
          <w:numId w:val="1"/>
        </w:numPr>
        <w:spacing w:before="0" w:after="80"/>
        <w:rPr/>
      </w:pPr>
      <w:r>
        <w:rPr>
          <w:rFonts w:eastAsia="Arial" w:cs="Arial"/>
          <w:color w:val="222222"/>
          <w:sz w:val="22"/>
          <w:szCs w:val="22"/>
        </w:rPr>
        <w:t>Transcripts and notes must be stored only within the approved clinical records system.</w:t>
      </w:r>
    </w:p>
    <w:p>
      <w:pPr>
        <w:pStyle w:val="ListParagraph"/>
        <w:numPr>
          <w:ilvl w:val="0"/>
          <w:numId w:val="1"/>
        </w:numPr>
        <w:spacing w:before="0" w:after="80"/>
        <w:rPr/>
      </w:pPr>
      <w:r>
        <w:rPr>
          <w:rFonts w:eastAsia="Arial" w:cs="Arial"/>
          <w:color w:val="222222"/>
          <w:sz w:val="22"/>
          <w:szCs w:val="22"/>
        </w:rPr>
        <w:t>AI-generated content must not be stored in personal devices, personal cloud storage, or unapproved third-party services.</w:t>
      </w:r>
    </w:p>
    <w:p>
      <w:pPr>
        <w:pStyle w:val="ListParagraph"/>
        <w:numPr>
          <w:ilvl w:val="0"/>
          <w:numId w:val="1"/>
        </w:numPr>
        <w:spacing w:before="0" w:after="80"/>
        <w:rPr/>
      </w:pPr>
      <w:r>
        <w:rPr>
          <w:rFonts w:eastAsia="Arial" w:cs="Arial"/>
          <w:color w:val="222222"/>
          <w:sz w:val="22"/>
          <w:szCs w:val="22"/>
        </w:rPr>
        <w:t>Staff must use practice-issued credentials and must not share login details for any AI scribe platform.</w:t>
      </w:r>
    </w:p>
    <w:p>
      <w:pPr>
        <w:pStyle w:val="ListParagraph"/>
        <w:numPr>
          <w:ilvl w:val="0"/>
          <w:numId w:val="1"/>
        </w:numPr>
        <w:spacing w:before="0" w:after="80"/>
        <w:rPr/>
      </w:pPr>
      <w:r>
        <w:rPr>
          <w:rFonts w:eastAsia="Arial" w:cs="Arial"/>
          <w:color w:val="222222"/>
          <w:sz w:val="22"/>
          <w:szCs w:val="22"/>
        </w:rPr>
        <w:t>Any data breach involving AI scribe output must be reported in accordance with the practice’s Data Breach Response Policy and to the Data Protection Commission (DPC) within 72 hours if required.</w:t>
      </w:r>
    </w:p>
    <w:p>
      <w:pPr>
        <w:pStyle w:val="Heading1"/>
        <w:pBdr>
          <w:bottom w:val="single" w:sz="4" w:space="4" w:color="1A6B72"/>
        </w:pBdr>
        <w:spacing w:before="360" w:after="120"/>
        <w:rPr/>
      </w:pPr>
      <w:r>
        <w:rPr>
          <w:rFonts w:eastAsia="Arial" w:cs="Arial" w:ascii="Arial" w:hAnsi="Arial"/>
          <w:b/>
          <w:bCs/>
          <w:color w:val="1A6B72"/>
          <w:sz w:val="28"/>
          <w:szCs w:val="28"/>
        </w:rPr>
        <w:t>9. Training &amp; Competency</w:t>
      </w:r>
    </w:p>
    <w:p>
      <w:pPr>
        <w:pStyle w:val="Normal"/>
        <w:spacing w:before="0" w:after="120"/>
        <w:rPr/>
      </w:pPr>
      <w:r>
        <w:rPr>
          <w:rFonts w:eastAsia="Arial" w:cs="Arial"/>
          <w:color w:val="222222"/>
          <w:sz w:val="22"/>
          <w:szCs w:val="22"/>
        </w:rPr>
        <w:t>All staff using an AI scribe must complete training before first use. Training must cover:</w:t>
      </w:r>
    </w:p>
    <w:p>
      <w:pPr>
        <w:pStyle w:val="ListParagraph"/>
        <w:numPr>
          <w:ilvl w:val="0"/>
          <w:numId w:val="1"/>
        </w:numPr>
        <w:spacing w:before="0" w:after="80"/>
        <w:rPr/>
      </w:pPr>
      <w:r>
        <w:rPr>
          <w:rFonts w:eastAsia="Arial" w:cs="Arial"/>
          <w:color w:val="222222"/>
          <w:sz w:val="22"/>
          <w:szCs w:val="22"/>
        </w:rPr>
        <w:t>How the tool works and its limitations</w:t>
      </w:r>
    </w:p>
    <w:p>
      <w:pPr>
        <w:pStyle w:val="ListParagraph"/>
        <w:numPr>
          <w:ilvl w:val="0"/>
          <w:numId w:val="1"/>
        </w:numPr>
        <w:spacing w:before="0" w:after="80"/>
        <w:rPr/>
      </w:pPr>
      <w:r>
        <w:rPr>
          <w:rFonts w:eastAsia="Arial" w:cs="Arial"/>
          <w:color w:val="222222"/>
          <w:sz w:val="22"/>
          <w:szCs w:val="22"/>
        </w:rPr>
        <w:t>How to review and correct AI-generated notes</w:t>
      </w:r>
    </w:p>
    <w:p>
      <w:pPr>
        <w:pStyle w:val="ListParagraph"/>
        <w:numPr>
          <w:ilvl w:val="0"/>
          <w:numId w:val="1"/>
        </w:numPr>
        <w:spacing w:before="0" w:after="80"/>
        <w:rPr/>
      </w:pPr>
      <w:r>
        <w:rPr>
          <w:rFonts w:eastAsia="Arial" w:cs="Arial"/>
          <w:color w:val="222222"/>
          <w:sz w:val="22"/>
          <w:szCs w:val="22"/>
        </w:rPr>
        <w:t>Patient consent procedures</w:t>
      </w:r>
    </w:p>
    <w:p>
      <w:pPr>
        <w:pStyle w:val="ListParagraph"/>
        <w:numPr>
          <w:ilvl w:val="0"/>
          <w:numId w:val="1"/>
        </w:numPr>
        <w:spacing w:before="0" w:after="80"/>
        <w:rPr/>
      </w:pPr>
      <w:r>
        <w:rPr>
          <w:rFonts w:eastAsia="Arial" w:cs="Arial"/>
          <w:color w:val="222222"/>
          <w:sz w:val="22"/>
          <w:szCs w:val="22"/>
        </w:rPr>
        <w:t>Reporting errors and incidents</w:t>
      </w:r>
    </w:p>
    <w:p>
      <w:pPr>
        <w:pStyle w:val="Normal"/>
        <w:spacing w:before="0" w:after="120"/>
        <w:rPr/>
      </w:pPr>
      <w:r>
        <w:rPr/>
      </w:r>
    </w:p>
    <w:p>
      <w:pPr>
        <w:pStyle w:val="Normal"/>
        <w:spacing w:before="0" w:after="120"/>
        <w:rPr/>
      </w:pPr>
      <w:r>
        <w:rPr>
          <w:rFonts w:eastAsia="Arial" w:cs="Arial"/>
          <w:color w:val="222222"/>
          <w:sz w:val="22"/>
          <w:szCs w:val="22"/>
        </w:rPr>
        <w:t>Training completion must be documented. The Practice Manager is responsible for maintaining training records.</w:t>
      </w:r>
    </w:p>
    <w:p>
      <w:pPr>
        <w:pStyle w:val="Heading1"/>
        <w:pBdr>
          <w:bottom w:val="single" w:sz="4" w:space="4" w:color="1A6B72"/>
        </w:pBdr>
        <w:spacing w:before="360" w:after="120"/>
        <w:rPr/>
      </w:pPr>
      <w:r>
        <w:rPr>
          <w:rFonts w:eastAsia="Arial" w:cs="Arial" w:ascii="Arial" w:hAnsi="Arial"/>
          <w:b/>
          <w:bCs/>
          <w:color w:val="1A6B72"/>
          <w:sz w:val="28"/>
          <w:szCs w:val="28"/>
        </w:rPr>
        <w:t>10. Quality Assurance &amp; Audit</w:t>
      </w:r>
    </w:p>
    <w:p>
      <w:pPr>
        <w:pStyle w:val="Normal"/>
        <w:spacing w:before="0" w:after="120"/>
        <w:rPr/>
      </w:pPr>
      <w:r>
        <w:rPr>
          <w:rFonts w:eastAsia="Arial" w:cs="Arial"/>
          <w:color w:val="222222"/>
          <w:sz w:val="22"/>
          <w:szCs w:val="22"/>
        </w:rPr>
        <w:t>The practice will carry out periodic review of AI scribe use, including:</w:t>
      </w:r>
    </w:p>
    <w:p>
      <w:pPr>
        <w:pStyle w:val="ListParagraph"/>
        <w:numPr>
          <w:ilvl w:val="0"/>
          <w:numId w:val="1"/>
        </w:numPr>
        <w:spacing w:before="0" w:after="80"/>
        <w:rPr/>
      </w:pPr>
      <w:r>
        <w:rPr>
          <w:rFonts w:eastAsia="Arial" w:cs="Arial"/>
          <w:color w:val="222222"/>
          <w:sz w:val="22"/>
          <w:szCs w:val="22"/>
        </w:rPr>
        <w:t>Spot audits of AI-generated notes for accuracy and clinical safety</w:t>
      </w:r>
    </w:p>
    <w:p>
      <w:pPr>
        <w:pStyle w:val="ListParagraph"/>
        <w:numPr>
          <w:ilvl w:val="0"/>
          <w:numId w:val="1"/>
        </w:numPr>
        <w:spacing w:before="0" w:after="80"/>
        <w:rPr/>
      </w:pPr>
      <w:r>
        <w:rPr>
          <w:rFonts w:eastAsia="Arial" w:cs="Arial"/>
          <w:color w:val="222222"/>
          <w:sz w:val="22"/>
          <w:szCs w:val="22"/>
        </w:rPr>
        <w:t>Review of any patient complaints or safety incidents relating to AI scribe use</w:t>
      </w:r>
    </w:p>
    <w:p>
      <w:pPr>
        <w:pStyle w:val="ListParagraph"/>
        <w:numPr>
          <w:ilvl w:val="0"/>
          <w:numId w:val="1"/>
        </w:numPr>
        <w:spacing w:before="0" w:after="80"/>
        <w:rPr/>
      </w:pPr>
      <w:r>
        <w:rPr>
          <w:rFonts w:eastAsia="Arial" w:cs="Arial"/>
          <w:color w:val="222222"/>
          <w:sz w:val="22"/>
          <w:szCs w:val="22"/>
        </w:rPr>
        <w:t>Annual review of this policy and approved tool list</w:t>
      </w:r>
    </w:p>
    <w:p>
      <w:pPr>
        <w:pStyle w:val="Normal"/>
        <w:spacing w:before="0" w:after="120"/>
        <w:rPr/>
      </w:pPr>
      <w:r>
        <w:rPr/>
      </w:r>
    </w:p>
    <w:p>
      <w:pPr>
        <w:pStyle w:val="Normal"/>
        <w:spacing w:before="0" w:after="120"/>
        <w:rPr/>
      </w:pPr>
      <w:r>
        <w:rPr>
          <w:rFonts w:eastAsia="Arial" w:cs="Arial"/>
          <w:color w:val="222222"/>
          <w:sz w:val="22"/>
          <w:szCs w:val="22"/>
        </w:rPr>
        <w:t>Findings will be discussed at practice meetings and documented in the practice governance log.</w:t>
      </w:r>
    </w:p>
    <w:p>
      <w:pPr>
        <w:pStyle w:val="Heading1"/>
        <w:pBdr>
          <w:bottom w:val="single" w:sz="4" w:space="4" w:color="1A6B72"/>
        </w:pBdr>
        <w:spacing w:before="360" w:after="120"/>
        <w:rPr/>
      </w:pPr>
      <w:r>
        <w:rPr>
          <w:rFonts w:eastAsia="Arial" w:cs="Arial" w:ascii="Arial" w:hAnsi="Arial"/>
          <w:b/>
          <w:bCs/>
          <w:color w:val="1A6B72"/>
          <w:sz w:val="28"/>
          <w:szCs w:val="28"/>
        </w:rPr>
        <w:t>11. Incident Reporting</w:t>
      </w:r>
    </w:p>
    <w:p>
      <w:pPr>
        <w:pStyle w:val="Normal"/>
        <w:spacing w:before="0" w:after="120"/>
        <w:rPr/>
      </w:pPr>
      <w:r>
        <w:rPr>
          <w:rFonts w:eastAsia="Arial" w:cs="Arial"/>
          <w:color w:val="222222"/>
          <w:sz w:val="22"/>
          <w:szCs w:val="22"/>
        </w:rPr>
        <w:t>Any concern about an AI-generated note — including clinical errors, missed information, or inappropriate content — must be reported immediately to the Practice Principal. Incidents will be logged, reviewed, and actioned in line with the practice’s clinical governance procedures. Serious incidents may be escalated to the Medical Council or relevant indemnity provider.</w:t>
      </w:r>
    </w:p>
    <w:p>
      <w:pPr>
        <w:pStyle w:val="Heading1"/>
        <w:pBdr>
          <w:bottom w:val="single" w:sz="4" w:space="4" w:color="1A6B72"/>
        </w:pBdr>
        <w:spacing w:before="360" w:after="120"/>
        <w:rPr/>
      </w:pPr>
      <w:r>
        <w:rPr>
          <w:rFonts w:eastAsia="Arial" w:cs="Arial" w:ascii="Arial" w:hAnsi="Arial"/>
          <w:b/>
          <w:bCs/>
          <w:color w:val="1A6B72"/>
          <w:sz w:val="28"/>
          <w:szCs w:val="28"/>
        </w:rPr>
        <w:t>12. Policy Review</w:t>
      </w:r>
    </w:p>
    <w:p>
      <w:pPr>
        <w:pStyle w:val="Normal"/>
        <w:spacing w:before="0" w:after="120"/>
        <w:rPr/>
      </w:pPr>
      <w:r>
        <w:rPr>
          <w:rFonts w:eastAsia="Arial" w:cs="Arial"/>
          <w:color w:val="222222"/>
          <w:sz w:val="22"/>
          <w:szCs w:val="22"/>
        </w:rPr>
        <w:t>This policy will be reviewed annually or sooner if there is a material change in technology, legislation, or guidance from the Medical Council, Data Protection Commission, or HIQA.</w:t>
      </w:r>
    </w:p>
    <w:p>
      <w:pPr>
        <w:pStyle w:val="Normal"/>
        <w:spacing w:before="0" w:after="400"/>
        <w:rPr/>
      </w:pPr>
      <w:r>
        <w:rPr/>
      </w:r>
    </w:p>
    <w:p>
      <w:pPr>
        <w:pStyle w:val="Normal"/>
        <w:pBdr>
          <w:top w:val="single" w:sz="4" w:space="4" w:color="1A6B72"/>
        </w:pBdr>
        <w:spacing w:before="200" w:after="120"/>
        <w:rPr/>
      </w:pPr>
      <w:r>
        <w:rPr>
          <w:rFonts w:eastAsia="Arial" w:cs="Arial"/>
          <w:b/>
          <w:bCs/>
          <w:color w:val="1A6B72"/>
          <w:sz w:val="24"/>
          <w:szCs w:val="24"/>
        </w:rPr>
        <w:t>Authorisation</w:t>
      </w:r>
    </w:p>
    <w:tbl>
      <w:tblPr>
        <w:tblW w:w="9026" w:type="dxa"/>
        <w:jc w:val="start"/>
        <w:tblInd w:w="0" w:type="dxa"/>
        <w:tblLayout w:type="fixed"/>
        <w:tblCellMar>
          <w:top w:w="80" w:type="dxa"/>
          <w:start w:w="120" w:type="dxa"/>
          <w:bottom w:w="240" w:type="dxa"/>
          <w:end w:w="120" w:type="dxa"/>
        </w:tblCellMar>
      </w:tblPr>
      <w:tblGrid>
        <w:gridCol w:w="4513"/>
        <w:gridCol w:w="4513"/>
      </w:tblGrid>
      <w:tr>
        <w:trPr/>
        <w:tc>
          <w:tcPr>
            <w:tcW w:w="4513" w:type="dxa"/>
            <w:tcBorders>
              <w:top w:val="single" w:sz="2" w:space="0" w:color="CCCCCC"/>
              <w:start w:val="single" w:sz="2" w:space="0" w:color="CCCCCC"/>
              <w:bottom w:val="single" w:sz="2" w:space="0" w:color="CCCCCC"/>
              <w:end w:val="single" w:sz="2" w:space="0" w:color="CCCCCC"/>
            </w:tcBorders>
          </w:tcPr>
          <w:p>
            <w:pPr>
              <w:pStyle w:val="Normal"/>
              <w:rPr/>
            </w:pPr>
            <w:r>
              <w:rPr>
                <w:rFonts w:eastAsia="Arial" w:cs="Arial"/>
                <w:b/>
                <w:bCs/>
                <w:color w:val="444444"/>
                <w:sz w:val="20"/>
                <w:szCs w:val="20"/>
              </w:rPr>
              <w:t>Practice Principal Signature:</w:t>
            </w:r>
          </w:p>
          <w:p>
            <w:pPr>
              <w:pStyle w:val="Normal"/>
              <w:spacing w:before="300" w:after="0"/>
              <w:rPr/>
            </w:pPr>
            <w:r>
              <w:rPr>
                <w:rFonts w:eastAsia="Arial" w:cs="Arial"/>
                <w:color w:val="888888"/>
                <w:sz w:val="20"/>
                <w:szCs w:val="20"/>
              </w:rPr>
              <w:t>_________________________</w:t>
            </w:r>
          </w:p>
          <w:p>
            <w:pPr>
              <w:pStyle w:val="Normal"/>
              <w:rPr/>
            </w:pPr>
            <w:r>
              <w:rPr>
                <w:rFonts w:eastAsia="Arial" w:cs="Arial"/>
                <w:color w:val="444444"/>
                <w:sz w:val="20"/>
                <w:szCs w:val="20"/>
              </w:rPr>
              <w:t>Name: _____________________</w:t>
            </w:r>
          </w:p>
          <w:p>
            <w:pPr>
              <w:pStyle w:val="Normal"/>
              <w:rPr/>
            </w:pPr>
            <w:r>
              <w:rPr>
                <w:rFonts w:eastAsia="Arial" w:cs="Arial"/>
                <w:color w:val="444444"/>
                <w:sz w:val="20"/>
                <w:szCs w:val="20"/>
              </w:rPr>
              <w:t>Date:  _____________________</w:t>
            </w:r>
          </w:p>
        </w:tc>
        <w:tc>
          <w:tcPr>
            <w:tcW w:w="4513" w:type="dxa"/>
            <w:tcBorders>
              <w:top w:val="single" w:sz="2" w:space="0" w:color="CCCCCC"/>
              <w:start w:val="single" w:sz="2" w:space="0" w:color="CCCCCC"/>
              <w:bottom w:val="single" w:sz="2" w:space="0" w:color="CCCCCC"/>
              <w:end w:val="single" w:sz="2" w:space="0" w:color="CCCCCC"/>
            </w:tcBorders>
          </w:tcPr>
          <w:p>
            <w:pPr>
              <w:pStyle w:val="Normal"/>
              <w:rPr/>
            </w:pPr>
            <w:r>
              <w:rPr>
                <w:rFonts w:eastAsia="Arial" w:cs="Arial"/>
                <w:b/>
                <w:bCs/>
                <w:color w:val="444444"/>
                <w:sz w:val="20"/>
                <w:szCs w:val="20"/>
              </w:rPr>
              <w:t>Practice Manager Signature:</w:t>
            </w:r>
          </w:p>
          <w:p>
            <w:pPr>
              <w:pStyle w:val="Normal"/>
              <w:spacing w:before="300" w:after="0"/>
              <w:rPr/>
            </w:pPr>
            <w:r>
              <w:rPr>
                <w:rFonts w:eastAsia="Arial" w:cs="Arial"/>
                <w:color w:val="888888"/>
                <w:sz w:val="20"/>
                <w:szCs w:val="20"/>
              </w:rPr>
              <w:t>_________________________</w:t>
            </w:r>
          </w:p>
          <w:p>
            <w:pPr>
              <w:pStyle w:val="Normal"/>
              <w:rPr/>
            </w:pPr>
            <w:r>
              <w:rPr>
                <w:rFonts w:eastAsia="Arial" w:cs="Arial"/>
                <w:color w:val="444444"/>
                <w:sz w:val="20"/>
                <w:szCs w:val="20"/>
              </w:rPr>
              <w:t>Name: _____________________</w:t>
            </w:r>
          </w:p>
          <w:p>
            <w:pPr>
              <w:pStyle w:val="Normal"/>
              <w:rPr/>
            </w:pPr>
            <w:r>
              <w:rPr>
                <w:rFonts w:eastAsia="Arial" w:cs="Arial"/>
                <w:color w:val="444444"/>
                <w:sz w:val="20"/>
                <w:szCs w:val="20"/>
              </w:rPr>
              <w:t>Date:  _____________________</w:t>
            </w:r>
          </w:p>
        </w:tc>
      </w:tr>
    </w:tbl>
    <w:p>
      <w:pPr>
        <w:pStyle w:val="Normal"/>
        <w:spacing w:before="0" w:after="300"/>
        <w:rPr/>
      </w:pPr>
      <w:r>
        <w:rPr/>
      </w:r>
    </w:p>
    <w:p>
      <w:pPr>
        <w:pStyle w:val="Heading1"/>
        <w:pBdr>
          <w:bottom w:val="single" w:sz="4" w:space="4" w:color="1A6B72"/>
        </w:pBdr>
        <w:spacing w:before="360" w:after="120"/>
        <w:rPr/>
      </w:pPr>
      <w:r>
        <w:rPr>
          <w:rFonts w:eastAsia="Arial" w:cs="Arial" w:ascii="Arial" w:hAnsi="Arial"/>
          <w:b/>
          <w:bCs/>
          <w:color w:val="1A6B72"/>
          <w:sz w:val="28"/>
          <w:szCs w:val="28"/>
        </w:rPr>
        <w:t>Appendix A — Approved AI Scribe Tools</w:t>
      </w:r>
    </w:p>
    <w:tbl>
      <w:tblPr>
        <w:tblW w:w="9026" w:type="dxa"/>
        <w:jc w:val="start"/>
        <w:tblInd w:w="0" w:type="dxa"/>
        <w:tblLayout w:type="fixed"/>
        <w:tblCellMar>
          <w:top w:w="80" w:type="dxa"/>
          <w:start w:w="120" w:type="dxa"/>
          <w:bottom w:w="80" w:type="dxa"/>
          <w:end w:w="120" w:type="dxa"/>
        </w:tblCellMar>
      </w:tblPr>
      <w:tblGrid>
        <w:gridCol w:w="3000"/>
        <w:gridCol w:w="2500"/>
        <w:gridCol w:w="3526"/>
      </w:tblGrid>
      <w:tr>
        <w:trPr/>
        <w:tc>
          <w:tcPr>
            <w:tcW w:w="3000" w:type="dxa"/>
            <w:tcBorders>
              <w:top w:val="single" w:sz="2" w:space="0" w:color="CCCCCC"/>
              <w:start w:val="single" w:sz="2" w:space="0" w:color="CCCCCC"/>
              <w:bottom w:val="single" w:sz="2" w:space="0" w:color="CCCCCC"/>
              <w:end w:val="single" w:sz="2" w:space="0" w:color="CCCCCC"/>
            </w:tcBorders>
            <w:shd w:fill="E8F4F5" w:val="clear"/>
          </w:tcPr>
          <w:p>
            <w:pPr>
              <w:pStyle w:val="Normal"/>
              <w:rPr/>
            </w:pPr>
            <w:r>
              <w:rPr>
                <w:rFonts w:eastAsia="Arial" w:cs="Arial"/>
                <w:b/>
                <w:bCs/>
                <w:color w:val="1A6B72"/>
                <w:sz w:val="20"/>
                <w:szCs w:val="20"/>
              </w:rPr>
              <w:t>Tool Name</w:t>
            </w:r>
          </w:p>
        </w:tc>
        <w:tc>
          <w:tcPr>
            <w:tcW w:w="2500" w:type="dxa"/>
            <w:tcBorders>
              <w:top w:val="single" w:sz="2" w:space="0" w:color="CCCCCC"/>
              <w:start w:val="single" w:sz="2" w:space="0" w:color="CCCCCC"/>
              <w:bottom w:val="single" w:sz="2" w:space="0" w:color="CCCCCC"/>
              <w:end w:val="single" w:sz="2" w:space="0" w:color="CCCCCC"/>
            </w:tcBorders>
            <w:shd w:fill="E8F4F5" w:val="clear"/>
          </w:tcPr>
          <w:p>
            <w:pPr>
              <w:pStyle w:val="Normal"/>
              <w:rPr/>
            </w:pPr>
            <w:r>
              <w:rPr>
                <w:rFonts w:eastAsia="Arial" w:cs="Arial"/>
                <w:b/>
                <w:bCs/>
                <w:color w:val="1A6B72"/>
                <w:sz w:val="20"/>
                <w:szCs w:val="20"/>
              </w:rPr>
              <w:t>Date Approved</w:t>
            </w:r>
          </w:p>
        </w:tc>
        <w:tc>
          <w:tcPr>
            <w:tcW w:w="3526" w:type="dxa"/>
            <w:tcBorders>
              <w:top w:val="single" w:sz="2" w:space="0" w:color="CCCCCC"/>
              <w:start w:val="single" w:sz="2" w:space="0" w:color="CCCCCC"/>
              <w:bottom w:val="single" w:sz="2" w:space="0" w:color="CCCCCC"/>
              <w:end w:val="single" w:sz="2" w:space="0" w:color="CCCCCC"/>
            </w:tcBorders>
            <w:shd w:fill="E8F4F5" w:val="clear"/>
          </w:tcPr>
          <w:p>
            <w:pPr>
              <w:pStyle w:val="Normal"/>
              <w:rPr/>
            </w:pPr>
            <w:r>
              <w:rPr>
                <w:rFonts w:eastAsia="Arial" w:cs="Arial"/>
                <w:b/>
                <w:bCs/>
                <w:color w:val="1A6B72"/>
                <w:sz w:val="20"/>
                <w:szCs w:val="20"/>
              </w:rPr>
              <w:t>Notes</w:t>
            </w:r>
          </w:p>
        </w:tc>
      </w:tr>
      <w:tr>
        <w:trPr/>
        <w:tc>
          <w:tcPr>
            <w:tcW w:w="3000" w:type="dxa"/>
            <w:tcBorders>
              <w:top w:val="single" w:sz="2" w:space="0" w:color="CCCCCC"/>
              <w:start w:val="single" w:sz="2" w:space="0" w:color="CCCCCC"/>
              <w:bottom w:val="single" w:sz="2" w:space="0" w:color="CCCCCC"/>
              <w:end w:val="single" w:sz="2" w:space="0" w:color="CCCCCC"/>
            </w:tcBorders>
          </w:tcPr>
          <w:p>
            <w:pPr>
              <w:pStyle w:val="Normal"/>
              <w:rPr/>
            </w:pPr>
            <w:r>
              <w:rPr>
                <w:rFonts w:eastAsia="Arial" w:cs="Arial"/>
                <w:i/>
                <w:iCs/>
                <w:color w:val="888888"/>
                <w:sz w:val="20"/>
                <w:szCs w:val="20"/>
              </w:rPr>
              <w:t>[Tool Name]</w:t>
            </w:r>
          </w:p>
        </w:tc>
        <w:tc>
          <w:tcPr>
            <w:tcW w:w="2500" w:type="dxa"/>
            <w:tcBorders>
              <w:top w:val="single" w:sz="2" w:space="0" w:color="CCCCCC"/>
              <w:start w:val="single" w:sz="2" w:space="0" w:color="CCCCCC"/>
              <w:bottom w:val="single" w:sz="2" w:space="0" w:color="CCCCCC"/>
              <w:end w:val="single" w:sz="2" w:space="0" w:color="CCCCCC"/>
            </w:tcBorders>
          </w:tcPr>
          <w:p>
            <w:pPr>
              <w:pStyle w:val="Normal"/>
              <w:rPr/>
            </w:pPr>
            <w:r>
              <w:rPr>
                <w:rFonts w:eastAsia="Arial" w:cs="Arial"/>
                <w:i/>
                <w:iCs/>
                <w:color w:val="888888"/>
                <w:sz w:val="20"/>
                <w:szCs w:val="20"/>
              </w:rPr>
              <w:t>[Date]</w:t>
            </w:r>
          </w:p>
        </w:tc>
        <w:tc>
          <w:tcPr>
            <w:tcW w:w="3526" w:type="dxa"/>
            <w:tcBorders>
              <w:top w:val="single" w:sz="2" w:space="0" w:color="CCCCCC"/>
              <w:start w:val="single" w:sz="2" w:space="0" w:color="CCCCCC"/>
              <w:bottom w:val="single" w:sz="2" w:space="0" w:color="CCCCCC"/>
              <w:end w:val="single" w:sz="2" w:space="0" w:color="CCCCCC"/>
            </w:tcBorders>
          </w:tcPr>
          <w:p>
            <w:pPr>
              <w:pStyle w:val="Normal"/>
              <w:rPr/>
            </w:pPr>
            <w:r>
              <w:rPr>
                <w:rFonts w:eastAsia="Arial" w:cs="Arial"/>
                <w:i/>
                <w:iCs/>
                <w:color w:val="888888"/>
                <w:sz w:val="20"/>
                <w:szCs w:val="20"/>
              </w:rPr>
              <w:t>[DPA reference, data location]</w:t>
            </w:r>
          </w:p>
        </w:tc>
      </w:tr>
      <w:tr>
        <w:trPr/>
        <w:tc>
          <w:tcPr>
            <w:tcW w:w="3000" w:type="dxa"/>
            <w:tcBorders>
              <w:top w:val="single" w:sz="2" w:space="0" w:color="CCCCCC"/>
              <w:start w:val="single" w:sz="2" w:space="0" w:color="CCCCCC"/>
              <w:bottom w:val="single" w:sz="2" w:space="0" w:color="CCCCCC"/>
              <w:end w:val="single" w:sz="2" w:space="0" w:color="CCCCCC"/>
            </w:tcBorders>
          </w:tcPr>
          <w:p>
            <w:pPr>
              <w:pStyle w:val="Normal"/>
              <w:rPr/>
            </w:pPr>
            <w:r>
              <w:rPr/>
            </w:r>
          </w:p>
        </w:tc>
        <w:tc>
          <w:tcPr>
            <w:tcW w:w="2500" w:type="dxa"/>
            <w:tcBorders>
              <w:top w:val="single" w:sz="2" w:space="0" w:color="CCCCCC"/>
              <w:start w:val="single" w:sz="2" w:space="0" w:color="CCCCCC"/>
              <w:bottom w:val="single" w:sz="2" w:space="0" w:color="CCCCCC"/>
              <w:end w:val="single" w:sz="2" w:space="0" w:color="CCCCCC"/>
            </w:tcBorders>
          </w:tcPr>
          <w:p>
            <w:pPr>
              <w:pStyle w:val="Normal"/>
              <w:rPr/>
            </w:pPr>
            <w:r>
              <w:rPr/>
            </w:r>
          </w:p>
        </w:tc>
        <w:tc>
          <w:tcPr>
            <w:tcW w:w="3526" w:type="dxa"/>
            <w:tcBorders>
              <w:top w:val="single" w:sz="2" w:space="0" w:color="CCCCCC"/>
              <w:start w:val="single" w:sz="2" w:space="0" w:color="CCCCCC"/>
              <w:bottom w:val="single" w:sz="2" w:space="0" w:color="CCCCCC"/>
              <w:end w:val="single" w:sz="2" w:space="0" w:color="CCCCCC"/>
            </w:tcBorders>
          </w:tcPr>
          <w:p>
            <w:pPr>
              <w:pStyle w:val="Normal"/>
              <w:rPr/>
            </w:pPr>
            <w:r>
              <w:rPr/>
            </w:r>
          </w:p>
        </w:tc>
      </w:tr>
    </w:tbl>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00" w:right="1200" w:gutter="0" w:header="708" w:top="1200" w:footer="708" w:bottom="12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4" w:color="1A6B72"/>
      </w:pBdr>
      <w:spacing w:before="80" w:after="0"/>
      <w:jc w:val="center"/>
      <w:rPr/>
    </w:pPr>
    <w:r>
      <w:rPr>
        <w:rFonts w:eastAsia="Arial" w:cs="Arial"/>
        <w:color w:val="888888"/>
        <w:sz w:val="18"/>
        <w:szCs w:val="18"/>
      </w:rPr>
      <w:t xml:space="preserve">Page </w:t>
    </w:r>
    <w:r>
      <w:rPr/>
      <w:fldChar w:fldCharType="begin"/>
    </w:r>
    <w:r>
      <w:rPr/>
      <w:instrText xml:space="preserve"> PAGE </w:instrText>
    </w:r>
    <w:r>
      <w:rPr/>
      <w:fldChar w:fldCharType="separate"/>
    </w:r>
    <w:r>
      <w:rPr/>
      <w:t>4</w:t>
    </w:r>
    <w:r>
      <w:rPr/>
      <w:fldChar w:fldCharType="end"/>
    </w:r>
    <w:r>
      <w:rPr>
        <w:rFonts w:eastAsia="Arial" w:cs="Arial"/>
        <w:color w:val="888888"/>
        <w:sz w:val="18"/>
        <w:szCs w:val="18"/>
      </w:rPr>
      <w:t xml:space="preserve"> — For internal practice use only. Review annually.</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4" w:color="1A6B72"/>
      </w:pBdr>
      <w:spacing w:before="80" w:after="0"/>
      <w:jc w:val="center"/>
      <w:rPr/>
    </w:pPr>
    <w:r>
      <w:rPr>
        <w:rFonts w:eastAsia="Arial" w:cs="Arial"/>
        <w:color w:val="888888"/>
        <w:sz w:val="18"/>
        <w:szCs w:val="18"/>
      </w:rPr>
      <w:t xml:space="preserve">Page </w:t>
    </w:r>
    <w:r>
      <w:rPr/>
      <w:fldChar w:fldCharType="begin"/>
    </w:r>
    <w:r>
      <w:rPr/>
      <w:instrText xml:space="preserve"> PAGE </w:instrText>
    </w:r>
    <w:r>
      <w:rPr/>
      <w:fldChar w:fldCharType="separate"/>
    </w:r>
    <w:r>
      <w:rPr/>
      <w:t>4</w:t>
    </w:r>
    <w:r>
      <w:rPr/>
      <w:fldChar w:fldCharType="end"/>
    </w:r>
    <w:r>
      <w:rPr>
        <w:rFonts w:eastAsia="Arial" w:cs="Arial"/>
        <w:color w:val="888888"/>
        <w:sz w:val="18"/>
        <w:szCs w:val="18"/>
      </w:rPr>
      <w:t xml:space="preserve"> — For internal practice use only. Review annually.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4" w:color="1A6B72"/>
      </w:pBdr>
      <w:spacing w:before="0" w:after="80"/>
      <w:rPr/>
    </w:pPr>
    <w:r>
      <w:rPr>
        <w:rFonts w:eastAsia="Arial" w:cs="Arial"/>
        <w:b/>
        <w:bCs/>
        <w:color w:val="1A6B72"/>
        <w:sz w:val="18"/>
        <w:szCs w:val="18"/>
      </w:rPr>
      <w:t>AI SCRIBE USE POLICY  |  GP PRACTICE</w:t>
    </w:r>
    <w:r>
      <w:rPr>
        <w:rFonts w:eastAsia="Arial" w:cs="Arial"/>
        <w:color w:val="888888"/>
        <w:sz w:val="18"/>
        <w:szCs w:val="18"/>
      </w:rPr>
      <w:t xml:space="preserve">  —  CONFIDENTIAL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4" w:color="1A6B72"/>
      </w:pBdr>
      <w:spacing w:before="0" w:after="80"/>
      <w:rPr/>
    </w:pPr>
    <w:r>
      <w:rPr>
        <w:rFonts w:eastAsia="Arial" w:cs="Arial"/>
        <w:b/>
        <w:bCs/>
        <w:color w:val="1A6B72"/>
        <w:sz w:val="18"/>
        <w:szCs w:val="18"/>
      </w:rPr>
      <w:t>AI SCRIBE USE POLICY  |  GP PRACTICE</w:t>
    </w:r>
    <w:r>
      <w:rPr>
        <w:rFonts w:eastAsia="Arial" w:cs="Arial"/>
        <w:color w:val="888888"/>
        <w:sz w:val="18"/>
        <w:szCs w:val="18"/>
      </w:rPr>
      <w:t xml:space="preserve">  —  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IE" w:eastAsia="zh-CN" w:bidi="hi-IN"/>
      </w:rPr>
    </w:rPrDefault>
    <w:pPrDefault>
      <w:pPr>
        <w:suppressAutoHyphens w:val="true"/>
      </w:pPr>
    </w:pPrDefault>
  </w:docDefaults>
  <w:style w:type="paragraph" w:styleId="Normal">
    <w:name w:val="Normal"/>
    <w:qFormat/>
    <w:pPr>
      <w:widowControl/>
      <w:bidi w:val="0"/>
      <w:spacing w:before="0" w:after="0"/>
      <w:jc w:val="start"/>
    </w:pPr>
    <w:rPr>
      <w:rFonts w:ascii="Arial" w:hAnsi="Arial" w:eastAsia="Arial" w:cs="Arial"/>
      <w:color w:val="auto"/>
      <w:kern w:val="0"/>
      <w:sz w:val="22"/>
      <w:szCs w:val="22"/>
      <w:lang w:val="en-IE" w:eastAsia="zh-CN" w:bidi="hi-IN"/>
    </w:rPr>
  </w:style>
  <w:style w:type="paragraph" w:styleId="Heading1">
    <w:name w:val="heading 1"/>
    <w:basedOn w:val="Heading"/>
    <w:qFormat/>
    <w:pPr>
      <w:spacing w:before="360" w:after="120"/>
      <w:outlineLvl w:val="0"/>
    </w:pPr>
    <w:rPr>
      <w:rFonts w:ascii="Arial" w:hAnsi="Arial" w:eastAsia="Arial" w:cs="Arial"/>
      <w:b/>
      <w:bCs/>
      <w:color w:val="1A6B72"/>
      <w:sz w:val="28"/>
      <w:szCs w:val="28"/>
    </w:rPr>
  </w:style>
  <w:style w:type="paragraph" w:styleId="Heading2">
    <w:name w:val="heading 2"/>
    <w:basedOn w:val="Heading"/>
    <w:qFormat/>
    <w:pPr>
      <w:spacing w:before="240" w:after="80"/>
      <w:outlineLvl w:val="1"/>
    </w:pPr>
    <w:rPr>
      <w:rFonts w:ascii="Arial" w:hAnsi="Arial" w:eastAsia="Arial" w:cs="Arial"/>
      <w:b/>
      <w:bCs/>
      <w:color w:val="333333"/>
      <w:sz w:val="24"/>
      <w:szCs w:val="24"/>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start"/>
    </w:pPr>
    <w:rPr>
      <w:rFonts w:ascii="Arial" w:hAnsi="Arial" w:eastAsia="Arial" w:cs="Arial"/>
      <w:b/>
      <w:bCs/>
      <w:color w:val="auto"/>
      <w:kern w:val="0"/>
      <w:sz w:val="22"/>
      <w:szCs w:val="22"/>
      <w:lang w:val="en-IE" w:eastAsia="zh-CN" w:bidi="hi-IN"/>
    </w:rPr>
  </w:style>
  <w:style w:type="paragraph" w:styleId="ListParagraph">
    <w:name w:val="List Paragraph"/>
    <w:qFormat/>
    <w:pPr>
      <w:widowControl/>
      <w:bidi w:val="0"/>
      <w:spacing w:before="0" w:after="0"/>
      <w:jc w:val="start"/>
    </w:pPr>
    <w:rPr>
      <w:rFonts w:ascii="Arial" w:hAnsi="Arial" w:eastAsia="Arial" w:cs="Arial"/>
      <w:color w:val="auto"/>
      <w:kern w:val="0"/>
      <w:sz w:val="22"/>
      <w:szCs w:val="22"/>
      <w:lang w:val="en-IE"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LibreOffice/25.8.3.2$Windows_X86_64 LibreOffice_project/8ca8d55c161d602844f5428fa4b58097424e324e</Application>
  <AppVersion>15.0000</AppVersion>
  <Pages>4</Pages>
  <Words>1025</Words>
  <Characters>5696</Characters>
  <CharactersWithSpaces>6605</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2026-03-12T08:47:52Z</dcterms:created>
  <dc:creator>Un-named</dc:creator>
  <dc:description/>
  <dc:language>en-IE</dc:language>
  <cp:lastModifiedBy/>
  <dcterms:modified xsi:type="dcterms:W3CDTF">2026-03-12T08:55:02Z</dcterms:modified>
  <cp:revision>2</cp:revision>
  <dc:subject/>
  <dc:title/>
</cp:coreProperties>
</file>